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4F3" w:rsidRDefault="003E04F3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E04F3" w:rsidRDefault="003E04F3">
      <w:pPr>
        <w:spacing w:after="120"/>
        <w:jc w:val="center"/>
        <w:rPr>
          <w:rFonts w:hint="eastAsia"/>
        </w:rPr>
      </w:pPr>
      <w:r>
        <w:rPr>
          <w:rFonts w:hint="eastAsia"/>
          <w:spacing w:val="21"/>
        </w:rPr>
        <w:t>損害額算定書</w:t>
      </w:r>
      <w:r>
        <w:rPr>
          <w:rFonts w:hint="eastAsia"/>
          <w:spacing w:val="21"/>
        </w:rPr>
        <w:t>(</w:t>
      </w:r>
      <w:r>
        <w:rPr>
          <w:rFonts w:hint="eastAsia"/>
          <w:spacing w:val="21"/>
        </w:rPr>
        <w:t>耐火建物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240"/>
        <w:gridCol w:w="1260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700"/>
        </w:trPr>
        <w:tc>
          <w:tcPr>
            <w:tcW w:w="8520" w:type="dxa"/>
            <w:gridSpan w:val="4"/>
          </w:tcPr>
          <w:p w:rsidR="003E04F3" w:rsidRDefault="003E04F3">
            <w:pPr>
              <w:spacing w:before="120"/>
              <w:rPr>
                <w:rFonts w:hint="eastAsia"/>
              </w:rPr>
            </w:pPr>
            <w:r>
              <w:pict>
                <v:group id="_x0000_s1026" style="position:absolute;left:0;text-align:left;margin-left:126.9pt;margin-top:302.35pt;width:155.1pt;height:25.95pt;z-index:251657728" coordorigin="4239,8538" coordsize="3102,519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4239;top:8538;width:60;height:519" adj="10800" strokeweight=".5pt"/>
                  <v:shape id="_x0000_s1028" type="#_x0000_t85" style="position:absolute;left:7281;top:8538;width:60;height:519;flip:x" adj="10800" strokeweight=".5pt"/>
                </v:group>
              </w:pict>
            </w:r>
            <w:r>
              <w:rPr>
                <w:rFonts w:hint="eastAsia"/>
              </w:rPr>
              <w:t xml:space="preserve">　　算定方法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①　建築時単価×</w:t>
            </w:r>
            <w:r>
              <w:rPr>
                <w:position w:val="-24"/>
              </w:rPr>
              <w:object w:dxaOrig="200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2pt;height:29.95pt" o:ole="" fillcolor="window">
                  <v:imagedata r:id="rId6" o:title=""/>
                </v:shape>
                <o:OLEObject Type="Embed" ProgID="Equation.3" ShapeID="_x0000_i1025" DrawAspect="Content" ObjectID="_1819297318" r:id="rId7"/>
              </w:object>
            </w:r>
            <w:r>
              <w:rPr>
                <w:rFonts w:hint="eastAsia"/>
              </w:rPr>
              <w:t>≒再建築費単価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②　建築時単価×</w:t>
            </w:r>
            <w:r>
              <w:rPr>
                <w:position w:val="-24"/>
              </w:rPr>
              <w:object w:dxaOrig="2740" w:dyaOrig="600">
                <v:shape id="_x0000_i1026" type="#_x0000_t75" style="width:137.1pt;height:29.95pt" o:ole="" fillcolor="window">
                  <v:imagedata r:id="rId8" o:title=""/>
                </v:shape>
                <o:OLEObject Type="Embed" ProgID="Equation.3" ShapeID="_x0000_i1026" DrawAspect="Content" ObjectID="_1819297319" r:id="rId9"/>
              </w:object>
            </w:r>
            <w:r>
              <w:rPr>
                <w:rFonts w:hint="eastAsia"/>
              </w:rPr>
              <w:t>≒建物の</w:t>
            </w:r>
            <w:r>
              <w:rPr>
                <w:rFonts w:hint="eastAsia"/>
              </w:rPr>
              <w:t>3.3m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当たりの評点数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③　再建築費単価×定額法による残存率≒時価単価</w:t>
            </w:r>
            <w:r>
              <w:rPr>
                <w:rFonts w:hint="eastAsia"/>
              </w:rPr>
              <w:t>(100</w:t>
            </w:r>
            <w:r>
              <w:rPr>
                <w:rFonts w:hint="eastAsia"/>
              </w:rPr>
              <w:t>円未満の端数は切捨て</w:t>
            </w:r>
            <w:r>
              <w:rPr>
                <w:rFonts w:hint="eastAsia"/>
              </w:rPr>
              <w:t>)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※補正係数は適用しない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④　時価単価×</w:t>
            </w:r>
            <w:r>
              <w:rPr>
                <w:position w:val="-22"/>
              </w:rPr>
              <w:object w:dxaOrig="1160" w:dyaOrig="580">
                <v:shape id="_x0000_i1027" type="#_x0000_t75" style="width:58.2pt;height:28.8pt" o:ole="" fillcolor="window">
                  <v:imagedata r:id="rId10" o:title=""/>
                </v:shape>
                <o:OLEObject Type="Embed" ProgID="Equation.3" ShapeID="_x0000_i1027" DrawAspect="Content" ObjectID="_1819297320" r:id="rId11"/>
              </w:object>
            </w:r>
            <w:r>
              <w:rPr>
                <w:rFonts w:hint="eastAsia"/>
              </w:rPr>
              <w:t>≒建物損害額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千円未満の端数は四捨五入</w:t>
            </w:r>
            <w:r>
              <w:rPr>
                <w:rFonts w:hint="eastAsia"/>
              </w:rPr>
              <w:t>)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部分的損害額計算式</w:t>
            </w:r>
          </w:p>
          <w:p w:rsidR="003E04F3" w:rsidRDefault="003E04F3">
            <w:pPr>
              <w:spacing w:before="80"/>
              <w:rPr>
                <w:rFonts w:hint="eastAsia"/>
              </w:rPr>
            </w:pPr>
          </w:p>
          <w:p w:rsidR="003E04F3" w:rsidRDefault="003E04F3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　　⑤　時価単価×　</w:t>
            </w:r>
            <w:r>
              <w:rPr>
                <w:position w:val="-22"/>
              </w:rPr>
              <w:object w:dxaOrig="1160" w:dyaOrig="580">
                <v:shape id="_x0000_i1028" type="#_x0000_t75" style="width:58.2pt;height:28.8pt" o:ole="" fillcolor="window">
                  <v:imagedata r:id="rId12" o:title=""/>
                </v:shape>
                <o:OLEObject Type="Embed" ProgID="Equation.3" ShapeID="_x0000_i1028" DrawAspect="Content" ObjectID="_1819297321" r:id="rId13"/>
              </w:object>
            </w:r>
            <w:r>
              <w:rPr>
                <w:rFonts w:hint="eastAsia"/>
              </w:rPr>
              <w:t>×</w:t>
            </w:r>
            <w:r>
              <w:rPr>
                <w:position w:val="-22"/>
              </w:rPr>
              <w:object w:dxaOrig="1579" w:dyaOrig="580">
                <v:shape id="_x0000_i1029" type="#_x0000_t75" style="width:78.9pt;height:28.8pt" o:ole="" fillcolor="window">
                  <v:imagedata r:id="rId14" o:title=""/>
                </v:shape>
                <o:OLEObject Type="Embed" ProgID="Equation.3" ShapeID="_x0000_i1029" DrawAspect="Content" ObjectID="_1819297322" r:id="rId15"/>
              </w:object>
            </w:r>
            <w:r>
              <w:rPr>
                <w:rFonts w:hint="eastAsia"/>
              </w:rPr>
              <w:t xml:space="preserve">　≒建物損害額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3E04F3" w:rsidRDefault="003E04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構造・階数・延べ面積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3E04F3" w:rsidRDefault="003E04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造・　／　・延べ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E04F3" w:rsidRDefault="003E04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建築時単価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3E04F3" w:rsidRDefault="003E04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Align w:val="center"/>
          </w:tcPr>
          <w:p w:rsidR="003E04F3" w:rsidRDefault="003E04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3240" w:type="dxa"/>
            <w:vAlign w:val="center"/>
          </w:tcPr>
          <w:p w:rsidR="003E04F3" w:rsidRDefault="003E04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経過年数　　年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vAlign w:val="center"/>
          </w:tcPr>
          <w:p w:rsidR="003E04F3" w:rsidRDefault="003E04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焼損床面積</w:t>
            </w:r>
          </w:p>
        </w:tc>
        <w:tc>
          <w:tcPr>
            <w:tcW w:w="1680" w:type="dxa"/>
            <w:vAlign w:val="center"/>
          </w:tcPr>
          <w:p w:rsidR="003E04F3" w:rsidRDefault="003E04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80" w:type="dxa"/>
            <w:gridSpan w:val="2"/>
            <w:tcBorders>
              <w:bottom w:val="nil"/>
            </w:tcBorders>
          </w:tcPr>
          <w:p w:rsidR="003E04F3" w:rsidRDefault="003E04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04F3" w:rsidRDefault="003E04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焼損表面積</w:t>
            </w:r>
          </w:p>
        </w:tc>
        <w:tc>
          <w:tcPr>
            <w:tcW w:w="1680" w:type="dxa"/>
            <w:vAlign w:val="center"/>
          </w:tcPr>
          <w:p w:rsidR="003E04F3" w:rsidRDefault="003E04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20"/>
        </w:trPr>
        <w:tc>
          <w:tcPr>
            <w:tcW w:w="8520" w:type="dxa"/>
            <w:gridSpan w:val="4"/>
            <w:tcBorders>
              <w:top w:val="nil"/>
              <w:bottom w:val="single" w:sz="4" w:space="0" w:color="auto"/>
            </w:tcBorders>
          </w:tcPr>
          <w:p w:rsidR="003E04F3" w:rsidRDefault="003E04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04F3" w:rsidRDefault="003E04F3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4F3" w:rsidRDefault="003E04F3">
      <w:r>
        <w:separator/>
      </w:r>
    </w:p>
  </w:endnote>
  <w:endnote w:type="continuationSeparator" w:id="0">
    <w:p w:rsidR="003E04F3" w:rsidRDefault="003E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4F3" w:rsidRDefault="003E04F3">
      <w:r>
        <w:separator/>
      </w:r>
    </w:p>
  </w:footnote>
  <w:footnote w:type="continuationSeparator" w:id="0">
    <w:p w:rsidR="003E04F3" w:rsidRDefault="003E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8E5"/>
    <w:rsid w:val="003E04F3"/>
    <w:rsid w:val="00F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2234EB4-4CFA-4349-8C88-05233331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別記様式第20号(第25条関係)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